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26"/>
        <w:tblW w:w="10241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9"/>
        <w:gridCol w:w="565"/>
        <w:gridCol w:w="2268"/>
        <w:gridCol w:w="425"/>
        <w:gridCol w:w="2304"/>
      </w:tblGrid>
      <w:tr>
        <w:trPr>
          <w:trHeight w:val="705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Приложение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 приказу ГКУ «ОСЗН Клинцовского района»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от   26.01.2024 г.№  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07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30"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hanging="0"/>
        <w:jc w:val="center"/>
        <w:rPr>
          <w:rFonts w:ascii="Times New Roman" w:hAnsi="Times New Roman" w:cs="Times New Roman"/>
          <w:b/>
          <w:b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40F0B"/>
          <w:sz w:val="28"/>
          <w:szCs w:val="28"/>
          <w:lang w:eastAsia="ru-RU"/>
        </w:rPr>
        <w:t>ПОЛИТИКА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b/>
          <w:b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40F0B"/>
          <w:sz w:val="28"/>
          <w:szCs w:val="28"/>
          <w:lang w:eastAsia="ru-RU"/>
        </w:rPr>
        <w:t xml:space="preserve">ГКУ «ОСЗН Клинцовского района» в отношении обработки персональных данных 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b/>
          <w:b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40F0B"/>
          <w:sz w:val="28"/>
          <w:szCs w:val="28"/>
          <w:lang w:eastAsia="ru-RU"/>
        </w:rPr>
        <w:t>граждан на Интернет-сайте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>
        <w:rPr>
          <w:rFonts w:cs="Times New Roman" w:ascii="Times New Roman" w:hAnsi="Times New Roman"/>
          <w:b/>
          <w:color w:val="140F0B"/>
          <w:sz w:val="28"/>
          <w:szCs w:val="28"/>
          <w:lang w:eastAsia="ru-RU"/>
        </w:rPr>
        <w:t>ГКУ «ОСЗН Клинцовского района»</w:t>
      </w: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 (далее – Учреждение) в отношении обработки персональных данных граждан в интернет-приемной Учреждения (далее – политика) в соответствии с требованиями статьи 18.1 Федерального закона от 27 июля 2006 года № 152-ФЗ «О персональных данных».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 xml:space="preserve">1.3. Официальный сайт Учреждения – сайт в сети «Интернет», расположенный по адресу: </w:t>
      </w: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https://oszn25.uszn032.ru/.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1.9. Конфиденциальность персональных данных – обязанность сотрудников Учреждения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2.1. Персональные данные физических лиц подлежат обработке в связи с исполнением полномочий Учреждения по рассмотрению обращений граждан, поступающих из сети «Интернет» в форме электронного документа, адресованного непосредственно Учреждению или его руководству.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Учреждение принимает либо обеспечивает принятие необходимых мер по удалению, уточнению неполных или неточных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Персональные данные граждан, обратившихся в Учреждение,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7.2. Учреждение 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7.3. В должностные регламенты сотрудников,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8. Требования к защите персональных данных.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8.1. </w:t>
      </w:r>
      <w:r>
        <w:rPr>
          <w:rFonts w:cs="Times New Roman" w:ascii="Times New Roman" w:hAnsi="Times New Roman"/>
          <w:color w:val="140F0B"/>
          <w:sz w:val="28"/>
          <w:szCs w:val="28"/>
          <w:lang w:eastAsia="ru-RU"/>
        </w:rPr>
        <w:t>Учреждение</w:t>
      </w:r>
      <w:r>
        <w:rPr>
          <w:rFonts w:cs="Times New Roman" w:ascii="Times New Roman" w:hAnsi="Times New Roman"/>
          <w:sz w:val="28"/>
          <w:szCs w:val="28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определяет угрозы безопасности персональных данных при их обработке;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назначает лиц, ответственных за обеспечение безопасности персональных данных в структурных подразделениях и в информационных системах;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создаёт необходимые условия для работы с персональными данными;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>
      <w:pPr>
        <w:pStyle w:val="Normal"/>
        <w:shd w:val="clear" w:color="auto" w:fill="FFFFFF"/>
        <w:spacing w:lineRule="auto" w:line="240" w:before="0" w:after="0"/>
        <w:ind w:right="30" w:hanging="0"/>
        <w:jc w:val="both"/>
        <w:rPr>
          <w:rFonts w:ascii="Times New Roman" w:hAnsi="Times New Roman" w:cs="Times New Roman"/>
          <w:color w:val="140F0B"/>
          <w:lang w:eastAsia="ru-RU"/>
        </w:rPr>
      </w:pPr>
      <w:r>
        <w:rPr>
          <w:rFonts w:cs="Times New Roman" w:ascii="Times New Roman" w:hAnsi="Times New Roman"/>
          <w:color w:val="140F0B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/>
      </w:r>
    </w:p>
    <w:sectPr>
      <w:footerReference w:type="default" r:id="rId2"/>
      <w:type w:val="nextPage"/>
      <w:pgSz w:w="11906" w:h="16838"/>
      <w:pgMar w:left="1361" w:right="794" w:header="0" w:top="680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54075439"/>
    </w:sdtPr>
    <w:sdtContent>
      <w:p>
        <w:pPr>
          <w:pStyle w:val="Style29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Style29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0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0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0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8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a"/>
    <w:uiPriority w:val="11"/>
    <w:qFormat/>
    <w:rPr>
      <w:sz w:val="24"/>
      <w:szCs w:val="24"/>
    </w:rPr>
  </w:style>
  <w:style w:type="character" w:styleId="22" w:customStyle="1">
    <w:name w:val="Цитата 2 Знак"/>
    <w:link w:val="22"/>
    <w:uiPriority w:val="29"/>
    <w:qFormat/>
    <w:rPr>
      <w:i/>
    </w:rPr>
  </w:style>
  <w:style w:type="character" w:styleId="Style7" w:customStyle="1">
    <w:name w:val="Выделенная цитата Знак"/>
    <w:link w:val="ac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>
    <w:name w:val="Интернет-ссылка"/>
    <w:uiPriority w:val="99"/>
    <w:unhideWhenUsed/>
    <w:rPr>
      <w:color w:val="0000FF" w:themeColor="hyperlink"/>
      <w:u w:val="single"/>
    </w:rPr>
  </w:style>
  <w:style w:type="character" w:styleId="Style9" w:customStyle="1">
    <w:name w:val="Текст сноски Знак"/>
    <w:link w:val="af0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link w:val="af3"/>
    <w:uiPriority w:val="99"/>
    <w:qFormat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3" w:customStyle="1">
    <w:name w:val="Верхний колонтитул Знак"/>
    <w:link w:val="af8"/>
    <w:uiPriority w:val="99"/>
    <w:qFormat/>
    <w:rPr>
      <w:rFonts w:ascii="Calibri" w:hAnsi="Calibri" w:cs="Calibri"/>
    </w:rPr>
  </w:style>
  <w:style w:type="character" w:styleId="Style14" w:customStyle="1">
    <w:name w:val="Текст выноски Знак"/>
    <w:link w:val="afb"/>
    <w:uiPriority w:val="99"/>
    <w:semiHidden/>
    <w:qFormat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link w:val="afd"/>
    <w:uiPriority w:val="99"/>
    <w:qFormat/>
    <w:rPr>
      <w:rFonts w:ascii="Calibri" w:hAnsi="Calibri" w:cs="Calibri"/>
    </w:rPr>
  </w:style>
  <w:style w:type="character" w:styleId="Style16" w:customStyle="1">
    <w:name w:val="Основной текст Знак"/>
    <w:link w:val="aff1"/>
    <w:qFormat/>
    <w:rPr>
      <w:sz w:val="23"/>
      <w:szCs w:val="23"/>
      <w:shd w:fill="FFFFFF" w:val="clear"/>
    </w:rPr>
  </w:style>
  <w:style w:type="character" w:styleId="12" w:customStyle="1">
    <w:name w:val="Основной текст Знак1"/>
    <w:uiPriority w:val="99"/>
    <w:semiHidden/>
    <w:qFormat/>
    <w:rPr>
      <w:rFonts w:cs="Calibri"/>
      <w:sz w:val="22"/>
      <w:szCs w:val="22"/>
      <w:lang w:eastAsia="en-US"/>
    </w:rPr>
  </w:style>
  <w:style w:type="character" w:styleId="23" w:customStyle="1">
    <w:name w:val="Большой список уровень 2 Знак"/>
    <w:link w:val="2"/>
    <w:uiPriority w:val="99"/>
    <w:qFormat/>
    <w:locked/>
    <w:rsid w:val="0086324e"/>
    <w:rPr>
      <w:rFonts w:ascii="Times New Roman" w:hAnsi="Times New Roman" w:eastAsia="Times New Roman"/>
      <w:sz w:val="24"/>
      <w:szCs w:val="28"/>
      <w:lang w:eastAsia="en-US"/>
    </w:rPr>
  </w:style>
  <w:style w:type="character" w:styleId="Style17" w:customStyle="1">
    <w:name w:val="Гипертекстовая ссылка"/>
    <w:basedOn w:val="DefaultParagraphFont"/>
    <w:uiPriority w:val="99"/>
    <w:qFormat/>
    <w:rsid w:val="0086324e"/>
    <w:rPr>
      <w:color w:val="106BB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9">
    <w:name w:val="Body Text"/>
    <w:basedOn w:val="Normal"/>
    <w:link w:val="aff0"/>
    <w:pPr>
      <w:widowControl w:val="false"/>
      <w:shd w:val="clear" w:color="auto" w:fill="FFFFFF"/>
      <w:spacing w:lineRule="exact" w:line="278" w:before="300" w:after="300"/>
      <w:jc w:val="both"/>
    </w:pPr>
    <w:rPr>
      <w:rFonts w:cs="Times New Roman"/>
      <w:sz w:val="23"/>
      <w:szCs w:val="23"/>
    </w:rPr>
  </w:style>
  <w:style w:type="paragraph" w:styleId="Style20">
    <w:name w:val="List"/>
    <w:basedOn w:val="Style19"/>
    <w:pPr>
      <w:shd w:val="clear" w:fill="FFFFFF"/>
    </w:pPr>
    <w:rPr>
      <w:rFonts w:ascii="PT Sans" w:hAnsi="PT Sans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ab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5">
    <w:name w:val="Footnote Text"/>
    <w:basedOn w:val="Normal"/>
    <w:link w:val="af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af4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9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BalloonText">
    <w:name w:val="Balloon Text"/>
    <w:basedOn w:val="Normal"/>
    <w:link w:val="afc"/>
    <w:uiPriority w:val="99"/>
    <w:semiHidden/>
    <w:qFormat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Style29">
    <w:name w:val="Footer"/>
    <w:basedOn w:val="Normal"/>
    <w:link w:val="afe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Style30" w:customStyle="1">
    <w:name w:val="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4" w:customStyle="1">
    <w:name w:val="Большой список уровень 1"/>
    <w:basedOn w:val="Normal"/>
    <w:next w:val="Normal"/>
    <w:uiPriority w:val="99"/>
    <w:qFormat/>
    <w:rsid w:val="0086324e"/>
    <w:pPr>
      <w:keepNext w:val="true"/>
      <w:spacing w:before="360" w:after="0"/>
      <w:ind w:left="709" w:right="709" w:hanging="0"/>
      <w:jc w:val="center"/>
    </w:pPr>
    <w:rPr>
      <w:rFonts w:ascii="Times New Roman" w:hAnsi="Times New Roman" w:eastAsia="Times New Roman" w:cs="Times New Roman"/>
      <w:b/>
      <w:bCs/>
      <w:caps/>
      <w:sz w:val="24"/>
      <w:szCs w:val="28"/>
      <w:lang w:eastAsia="ru-RU"/>
    </w:rPr>
  </w:style>
  <w:style w:type="paragraph" w:styleId="25" w:customStyle="1">
    <w:name w:val="Большой список уровень 2"/>
    <w:basedOn w:val="Normal"/>
    <w:link w:val="25"/>
    <w:uiPriority w:val="99"/>
    <w:qFormat/>
    <w:rsid w:val="0086324e"/>
    <w:pPr>
      <w:spacing w:before="0" w:after="0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33" w:customStyle="1">
    <w:name w:val="Большой список уровень 3"/>
    <w:basedOn w:val="Normal"/>
    <w:uiPriority w:val="99"/>
    <w:qFormat/>
    <w:rsid w:val="0086324e"/>
    <w:pPr>
      <w:spacing w:before="0" w:after="0"/>
      <w:ind w:left="0" w:hanging="0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Style31" w:customStyle="1">
    <w:name w:val="Отступ абзаца"/>
    <w:basedOn w:val="Normal"/>
    <w:uiPriority w:val="99"/>
    <w:qFormat/>
    <w:rsid w:val="0086324e"/>
    <w:pPr>
      <w:spacing w:before="0" w:after="0"/>
      <w:ind w:firstLine="708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32" w:customStyle="1">
    <w:name w:val="Большой список маркированный"/>
    <w:basedOn w:val="Normal"/>
    <w:uiPriority w:val="99"/>
    <w:qFormat/>
    <w:rsid w:val="0086324e"/>
    <w:pPr>
      <w:spacing w:before="0" w:after="0"/>
      <w:jc w:val="both"/>
    </w:pPr>
    <w:rPr>
      <w:rFonts w:ascii="Times New Roman" w:hAnsi="Times New Roman" w:eastAsia="Times New Roman" w:cs="Times New Roman"/>
      <w:sz w:val="24"/>
      <w:szCs w:val="28"/>
      <w:lang w:eastAsia="ru-RU"/>
    </w:rPr>
  </w:style>
  <w:style w:type="paragraph" w:styleId="Style33" w:customStyle="1">
    <w:name w:val="Таблицы в шаблонах"/>
    <w:basedOn w:val="Normal"/>
    <w:uiPriority w:val="99"/>
    <w:qFormat/>
    <w:rsid w:val="00154c26"/>
    <w:pPr>
      <w:spacing w:before="0" w:after="0"/>
      <w:jc w:val="both"/>
    </w:pPr>
    <w:rPr>
      <w:rFonts w:ascii="Times New Roman" w:hAnsi="Times New Roman" w:cs="Times New Roman"/>
      <w:szCs w:val="24"/>
    </w:rPr>
  </w:style>
  <w:style w:type="paragraph" w:styleId="Style34" w:customStyle="1">
    <w:name w:val="Номер строки таблицы"/>
    <w:basedOn w:val="Normal"/>
    <w:uiPriority w:val="99"/>
    <w:qFormat/>
    <w:rsid w:val="00154c26"/>
    <w:pPr>
      <w:widowControl w:val="false"/>
      <w:tabs>
        <w:tab w:val="clear" w:pos="709"/>
        <w:tab w:val="left" w:pos="360" w:leader="none"/>
        <w:tab w:val="left" w:pos="720" w:leader="none"/>
      </w:tabs>
      <w:spacing w:lineRule="auto" w:line="240" w:before="0" w:after="0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Style35" w:customStyle="1">
    <w:name w:val="Список с маркерами"/>
    <w:qFormat/>
    <w:rsid w:val="0086324e"/>
  </w:style>
  <w:style w:type="numbering" w:styleId="Style36" w:customStyle="1">
    <w:name w:val="Большой список"/>
    <w:qFormat/>
    <w:rsid w:val="0086324e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3">
    <w:name w:val="Table Grid"/>
    <w:basedOn w:val="a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5"/>
    <w:rsid w:val="001e1c3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LibreOffice/6.4.4.2$Linux_X86_64 LibreOffice_project/40$Build-2</Application>
  <Pages>4</Pages>
  <Words>973</Words>
  <Characters>7212</Characters>
  <CharactersWithSpaces>8150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2024-01-26T11:16:00Z</dcterms:created>
  <dc:creator>BukichevaOA</dc:creator>
  <dc:description/>
  <dc:language>ru-RU</dc:language>
  <cp:lastModifiedBy/>
  <cp:lastPrinted>2024-01-29T10:27:37Z</cp:lastPrinted>
  <dcterms:modified xsi:type="dcterms:W3CDTF">2024-01-29T10:27:52Z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